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0F3D2E"/>
            <w:tcMar>
              <w:top w:w="520" w:type="dxa"/>
              <w:start w:w="520" w:type="dxa"/>
              <w:bottom w:w="520" w:type="dxa"/>
              <w:end w:w="520" w:type="dxa"/>
            </w:tcMar>
            <w:tcBorders>
              <w:top w:val="single" w:sz="6" w:color="0F3D2E"/>
              <w:bottom w:val="single" w:sz="6" w:color="0F3D2E"/>
              <w:left w:val="single" w:sz="6" w:color="0F3D2E"/>
              <w:right w:val="single" w:sz="6" w:color="0F3D2E"/>
            </w:tcBorders>
          </w:tcPr>
          <w:p>
            <w:pPr>
              <w:jc w:val="left"/>
            </w:pPr>
            <w:r>
              <w:rPr>
                <w:rFonts w:ascii="Aptos" w:hAnsi="Aptos"/>
                <w:b/>
                <w:color w:val="D7F0E0"/>
                <w:sz w:val="20"/>
              </w:rPr>
              <w:t>GRANTOWO INSTYTUCJA</w:t>
            </w:r>
          </w:p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50"/>
              </w:rPr>
              <w:t>Uzasadnienie celowości zakupu</w:t>
            </w:r>
          </w:p>
          <w:p>
            <w:pPr>
              <w:jc w:val="left"/>
            </w:pPr>
            <w:r>
              <w:rPr>
                <w:rFonts w:ascii="Aptos" w:hAnsi="Aptos"/>
                <w:color w:val="E8F8EF"/>
                <w:sz w:val="22"/>
              </w:rPr>
              <w:t>Dokument pomocniczy dla sekretarza, skarbnika, dyrektora instytucji, kierownika wydziału lub osoby zatwierdzającej wydatek.</w:t>
            </w:r>
          </w:p>
          <w:p>
            <w:r>
              <w:rPr>
                <w:rFonts w:ascii="Aptos" w:hAnsi="Aptos"/>
                <w:color w:val="E8F8EF"/>
                <w:sz w:val="18"/>
              </w:rPr>
              <w:t>Dokument decyzyjny  |  wersja edytowalna  |  8 lipca 2026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EAF7EF"/>
            <w:tcMar>
              <w:top w:w="180" w:type="dxa"/>
              <w:start w:w="220" w:type="dxa"/>
              <w:bottom w:w="180" w:type="dxa"/>
              <w:end w:w="220" w:type="dxa"/>
            </w:tcMar>
            <w:tcBorders>
              <w:top w:val="single" w:sz="8" w:color="C9E7D3"/>
              <w:left w:val="single" w:sz="8" w:color="C9E7D3"/>
              <w:bottom w:val="single" w:sz="8" w:color="C9E7D3"/>
              <w:right w:val="single" w:sz="8" w:color="C9E7D3"/>
            </w:tcBorders>
          </w:tcPr>
          <w:p>
            <w:r>
              <w:rPr>
                <w:rFonts w:ascii="Aptos" w:hAnsi="Aptos"/>
                <w:b/>
                <w:color w:val="0F3D2E"/>
                <w:sz w:val="21"/>
              </w:rPr>
              <w:t>Najważniejsza teza</w:t>
            </w:r>
          </w:p>
          <w:p>
            <w:r>
              <w:rPr>
                <w:rFonts w:ascii="Aptos" w:hAnsi="Aptos"/>
                <w:color w:val="121E2A"/>
                <w:sz w:val="19"/>
              </w:rPr>
              <w:t>Zakup dostępu do Grantowo Instytucja nie jest zakupem zwykłej subskrypcji. To uruchomienie lokalnego systemu informacji grantowej, który pomaga organizacjom, instytucjom i aktywnym mieszkańcom szybciej docierać do naborów, terminów i materiałów edukacyjnych.</w:t>
            </w:r>
          </w:p>
        </w:tc>
      </w:tr>
    </w:tbl>
    <w:p/>
    <w:p>
      <w:pPr>
        <w:pStyle w:val="Heading1"/>
        <w:spacing w:before="240" w:after="100"/>
      </w:pPr>
      <w:r>
        <w:rPr>
          <w:rFonts w:ascii="Aptos" w:hAnsi="Aptos"/>
          <w:b/>
          <w:color w:val="121E2A"/>
          <w:sz w:val="36"/>
        </w:rPr>
        <w:t>Dane do uzupełnienia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2"/>
        <w:gridCol w:w="5669"/>
      </w:tblGrid>
      <w:tr>
        <w:tc>
          <w:tcPr>
            <w:tcW w:type="dxa" w:w="5241"/>
            <w:shd w:fill="2E4A3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  <w:t>Pole do uzupełnienia</w:t>
            </w:r>
          </w:p>
        </w:tc>
        <w:tc>
          <w:tcPr>
            <w:tcW w:type="dxa" w:w="5241"/>
            <w:shd w:fill="2E4A3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  <w:t>Wartość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Zamawiający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Komórka organizacyjna / jednostka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Rekomendowany wariant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Liczba użytkowników / kodów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Planowany okres realizacji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Szacunkowa wartość netto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Źródło finansowania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</w:tbl>
    <w:p/>
    <w:p>
      <w:pPr>
        <w:pStyle w:val="Heading1"/>
        <w:spacing w:before="240" w:after="100"/>
      </w:pPr>
      <w:r>
        <w:rPr>
          <w:rFonts w:ascii="Aptos" w:hAnsi="Aptos"/>
          <w:b/>
          <w:color w:val="121E2A"/>
          <w:sz w:val="36"/>
        </w:rPr>
        <w:t>1. Przedmiot zakupu</w:t>
      </w:r>
    </w:p>
    <w:p>
      <w:pPr>
        <w:spacing w:after="80" w:line="259" w:lineRule="auto"/>
      </w:pPr>
      <w:r>
        <w:rPr>
          <w:rFonts w:ascii="Aptos" w:hAnsi="Aptos"/>
          <w:sz w:val="19"/>
        </w:rPr>
        <w:t>Przedmiotem zakupu jest roczna usługa dostępu do systemu Grantowo.pl w wariancie Grantowo Instytucja, obejmująca dostęp do cyfrowej bazy informacji o grantach, dotacjach, konkursach i naborach finansowania zewnętrznego, interaktywnego kalendarza grantowego, materiałów edukacyjnych, wzorów dokumentów, funkcji generowania zestawień oraz puli kodów dostępu dla użytkowników wskazanych przez Zamawiającego.</w:t>
      </w:r>
    </w:p>
    <w:p>
      <w:pPr>
        <w:spacing w:after="80" w:line="259" w:lineRule="auto"/>
      </w:pPr>
      <w:r>
        <w:rPr>
          <w:rFonts w:ascii="Aptos" w:hAnsi="Aptos"/>
          <w:sz w:val="19"/>
        </w:rPr>
        <w:t>Usługa jest przeznaczona dla lokalnych organizacji, instytucji oraz innych podmiotów działających na rzecz społeczności lokalnej, w szczególności organizacji pozarządowych, OSP, KGW, klubów sportowych, instytucji kultury, szkół, bibliotek, grup nieformalnych i aktywnych mieszkańców.</w:t>
      </w:r>
    </w:p>
    <w:p>
      <w:pPr>
        <w:pStyle w:val="Heading1"/>
        <w:spacing w:before="240" w:after="100"/>
      </w:pPr>
      <w:r>
        <w:rPr>
          <w:rFonts w:ascii="Aptos" w:hAnsi="Aptos"/>
          <w:b/>
          <w:color w:val="121E2A"/>
          <w:sz w:val="36"/>
        </w:rPr>
        <w:t>2. Uzasadnienie potrzeby zakupu</w:t>
      </w:r>
    </w:p>
    <w:p>
      <w:pPr>
        <w:spacing w:after="80" w:line="259" w:lineRule="auto"/>
      </w:pPr>
      <w:r>
        <w:rPr>
          <w:rFonts w:ascii="Aptos" w:hAnsi="Aptos"/>
          <w:sz w:val="19"/>
        </w:rPr>
        <w:t>Lokalne organizacje i instytucje coraz częściej poszukują środków zewnętrznych na realizację projektów społecznych, edukacyjnych, sportowych, kulturalnych, cyfrowych i obywatelskich. Jednocześnie informacje o dostępnych grantach, dotacjach i konkursach są rozproszone pomiędzy licznymi źródłami, w tym stronami instytucji krajowych, samorządowych, unijnych, fundacji, operatorów programów i organizatorów konkursów.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81"/>
        <w:gridCol w:w="3458"/>
        <w:gridCol w:w="3458"/>
      </w:tblGrid>
      <w:tr>
        <w:tc>
          <w:tcPr>
            <w:tcW w:type="dxa" w:w="3494"/>
            <w:shd w:fill="0F3D2E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3494"/>
            <w:shd w:fill="0F3D2E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  <w:t>Konsekwencja</w:t>
            </w:r>
          </w:p>
        </w:tc>
        <w:tc>
          <w:tcPr>
            <w:tcW w:type="dxa" w:w="3494"/>
            <w:shd w:fill="0F3D2E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  <w:t>Rozwiązanie w Grantowo Instytucja</w:t>
            </w:r>
          </w:p>
        </w:tc>
      </w:tr>
      <w:tr>
        <w:tc>
          <w:tcPr>
            <w:tcW w:type="dxa" w:w="238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Rozproszenie informacji</w:t>
            </w:r>
          </w:p>
        </w:tc>
        <w:tc>
          <w:tcPr>
            <w:tcW w:type="dxa" w:w="345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Organizacje muszą samodzielnie przeglądać wiele stron i regulaminów.</w:t>
            </w:r>
          </w:p>
        </w:tc>
        <w:tc>
          <w:tcPr>
            <w:tcW w:type="dxa" w:w="345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Jedna baza naborów, kalendarz terminów i wyszukiwarka tematyczna.</w:t>
            </w:r>
          </w:p>
        </w:tc>
      </w:tr>
      <w:tr>
        <w:tc>
          <w:tcPr>
            <w:tcW w:type="dxa" w:w="2381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Uciekające terminy</w:t>
            </w:r>
          </w:p>
        </w:tc>
        <w:tc>
          <w:tcPr>
            <w:tcW w:type="dxa" w:w="3458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Część organizacji dowiaduje się o naborach zbyt późno.</w:t>
            </w:r>
          </w:p>
        </w:tc>
        <w:tc>
          <w:tcPr>
            <w:tcW w:type="dxa" w:w="3458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Kalendarz i powiadomienia wspierają bieżące monitorowanie terminów.</w:t>
            </w:r>
          </w:p>
        </w:tc>
      </w:tr>
      <w:tr>
        <w:tc>
          <w:tcPr>
            <w:tcW w:type="dxa" w:w="238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Nierówne kompetencje</w:t>
            </w:r>
          </w:p>
        </w:tc>
        <w:tc>
          <w:tcPr>
            <w:tcW w:type="dxa" w:w="345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Najlepiej radzą sobie organizacje z doświadczeniem i czasem na monitoring.</w:t>
            </w:r>
          </w:p>
        </w:tc>
        <w:tc>
          <w:tcPr>
            <w:tcW w:type="dxa" w:w="345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Materiały edukacyjne, wzory i poradniki obniżają próg wejścia.</w:t>
            </w:r>
          </w:p>
        </w:tc>
      </w:tr>
      <w:tr>
        <w:tc>
          <w:tcPr>
            <w:tcW w:type="dxa" w:w="2381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Obciążenie instytucji</w:t>
            </w:r>
          </w:p>
        </w:tc>
        <w:tc>
          <w:tcPr>
            <w:tcW w:type="dxa" w:w="3458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Pracownicy urzędu lub instytucji ręcznie przekazują linki i odpowiadają na powtarzalne pytania.</w:t>
            </w:r>
          </w:p>
        </w:tc>
        <w:tc>
          <w:tcPr>
            <w:tcW w:type="dxa" w:w="3458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System pozwala przekazać użytkownikom gotowe narzędzie do samodzielnego wyszukiwania.</w:t>
            </w:r>
          </w:p>
        </w:tc>
      </w:tr>
      <w:tr>
        <w:tc>
          <w:tcPr>
            <w:tcW w:type="dxa" w:w="238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Brak widocznego programu wsparcia</w:t>
            </w:r>
          </w:p>
        </w:tc>
        <w:tc>
          <w:tcPr>
            <w:tcW w:type="dxa" w:w="345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Wsparcie informacyjne bywa rozproszone i trudne do pokazania mieszkańcom.</w:t>
            </w:r>
          </w:p>
        </w:tc>
        <w:tc>
          <w:tcPr>
            <w:tcW w:type="dxa" w:w="345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Grantowo Instytucja może być komunikowane jako lokalny program wspierania aktywności.</w:t>
            </w:r>
          </w:p>
        </w:tc>
      </w:tr>
    </w:tbl>
    <w:p/>
    <w:p>
      <w:pPr>
        <w:pStyle w:val="Heading1"/>
        <w:spacing w:before="240" w:after="100"/>
      </w:pPr>
      <w:r>
        <w:rPr>
          <w:rFonts w:ascii="Aptos" w:hAnsi="Aptos"/>
          <w:b/>
          <w:color w:val="121E2A"/>
          <w:sz w:val="36"/>
        </w:rPr>
        <w:t>3. Cel publiczny i społeczny zakupu</w:t>
      </w:r>
    </w:p>
    <w:p>
      <w:pPr>
        <w:spacing w:after="80" w:line="259" w:lineRule="auto"/>
      </w:pPr>
      <w:r>
        <w:rPr>
          <w:rFonts w:ascii="Aptos" w:hAnsi="Aptos"/>
          <w:sz w:val="19"/>
        </w:rPr>
        <w:t>Celem zakupu jest zwiększenie dostępu lokalnych organizacji, instytucji i mieszkańców do informacji o możliwościach pozyskiwania środków zewnętrznych. Zakup wspiera realizację działań związanych z: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rozwojem aktywności obywatelskiej;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wzmacnianiem potencjału organizacji pozarządowych;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wspieraniem lokalnych inicjatyw społecznych;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rozwojem sportu, kultury, edukacji i działalności społecznej;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wspieraniem OSP, KGW, klubów sportowych i grup nieformalnych;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poprawą przepływu informacji między instytucją a lokalnymi interesariuszami;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budowaniem kompetencji w zakresie poszukiwania finansowania zewnętrznego.</w:t>
      </w:r>
    </w:p>
    <w:p>
      <w:pPr>
        <w:spacing w:after="80" w:line="259" w:lineRule="auto"/>
      </w:pPr>
      <w:r>
        <w:rPr>
          <w:rFonts w:ascii="Aptos" w:hAnsi="Aptos"/>
          <w:sz w:val="19"/>
        </w:rPr>
        <w:t>Usługa nie polega na przekazaniu dotacji konkretnemu podmiotowi, ale na stworzeniu lokalnym organizacjom i instytucjom lepszych warunków do samodzielnego poszukiwania źródeł finansowania.</w:t>
      </w:r>
    </w:p>
    <w:p>
      <w:r>
        <w:br w:type="page"/>
      </w:r>
    </w:p>
    <w:p>
      <w:pPr>
        <w:pStyle w:val="Heading1"/>
        <w:spacing w:before="240" w:after="100"/>
      </w:pPr>
      <w:r>
        <w:rPr>
          <w:rFonts w:ascii="Aptos" w:hAnsi="Aptos"/>
          <w:b/>
          <w:color w:val="121E2A"/>
          <w:sz w:val="36"/>
        </w:rPr>
        <w:t>4. Korzyści dla Zamawiającego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6123"/>
      </w:tblGrid>
      <w:tr>
        <w:tc>
          <w:tcPr>
            <w:tcW w:type="dxa" w:w="5241"/>
            <w:shd w:fill="1F6F5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  <w:t>Korzyść</w:t>
            </w:r>
          </w:p>
        </w:tc>
        <w:tc>
          <w:tcPr>
            <w:tcW w:type="dxa" w:w="5241"/>
            <w:shd w:fill="1F6F5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  <w:t>Znaczenie dla instytucji</w:t>
            </w:r>
          </w:p>
        </w:tc>
      </w:tr>
      <w:tr>
        <w:tc>
          <w:tcPr>
            <w:tcW w:type="dxa" w:w="311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Odciążenie instytucji</w:t>
            </w:r>
          </w:p>
        </w:tc>
        <w:tc>
          <w:tcPr>
            <w:tcW w:type="dxa" w:w="6123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Zamawiający nie musi samodzielnie tworzyć i stale aktualizować własnej bazy grantów.</w:t>
            </w:r>
          </w:p>
        </w:tc>
      </w:tr>
      <w:tr>
        <w:tc>
          <w:tcPr>
            <w:tcW w:type="dxa" w:w="3118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Poprawa dostępu do informacji</w:t>
            </w:r>
          </w:p>
        </w:tc>
        <w:tc>
          <w:tcPr>
            <w:tcW w:type="dxa" w:w="6123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Lokalni użytkownicy otrzymują jedno miejsce do sprawdzania aktualnych i nadchodzących naborów.</w:t>
            </w:r>
          </w:p>
        </w:tc>
      </w:tr>
      <w:tr>
        <w:tc>
          <w:tcPr>
            <w:tcW w:type="dxa" w:w="311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Wsparcie lokalnych organizacji</w:t>
            </w:r>
          </w:p>
        </w:tc>
        <w:tc>
          <w:tcPr>
            <w:tcW w:type="dxa" w:w="6123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Program daje organizacjom praktyczne narzędzie pracy, a nie wyłącznie jednorazową informację.</w:t>
            </w:r>
          </w:p>
        </w:tc>
      </w:tr>
      <w:tr>
        <w:tc>
          <w:tcPr>
            <w:tcW w:type="dxa" w:w="3118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Wzmocnienie wizerunku</w:t>
            </w:r>
          </w:p>
        </w:tc>
        <w:tc>
          <w:tcPr>
            <w:tcW w:type="dxa" w:w="6123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Zamawiający może komunikować zakup jako konkretne działanie wspierające lokalną aktywność.</w:t>
            </w:r>
          </w:p>
        </w:tc>
      </w:tr>
      <w:tr>
        <w:tc>
          <w:tcPr>
            <w:tcW w:type="dxa" w:w="311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Przewidywalny koszt</w:t>
            </w:r>
          </w:p>
        </w:tc>
        <w:tc>
          <w:tcPr>
            <w:tcW w:type="dxa" w:w="6123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Koszt jest z góry określony, a potencjalne korzyści wynikające z lepszego dostępu do finansowania mogą wielokrotnie przewyższyć wartość zakupu.</w:t>
            </w:r>
          </w:p>
        </w:tc>
      </w:tr>
    </w:tbl>
    <w:p/>
    <w:p>
      <w:pPr>
        <w:pStyle w:val="Heading1"/>
        <w:spacing w:before="240" w:after="100"/>
      </w:pPr>
      <w:r>
        <w:rPr>
          <w:rFonts w:ascii="Aptos" w:hAnsi="Aptos"/>
          <w:b/>
          <w:color w:val="121E2A"/>
          <w:sz w:val="36"/>
        </w:rPr>
        <w:t>5. Korzyści dla użytkowników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dostęp do uporządkowanej bazy naborów;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możliwość śledzenia terminów w kalendarzu grantowym;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szybsze wyszukiwanie naborów według typu beneficjenta i tematu;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dostęp do wzorów dokumentów i materiałów pomocniczych;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możliwość korzystania z edukacyjnych ścieżek wideo i bazy wiedzy;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większa samodzielność w ocenie, gdzie i kiedy warto aplikować.</w:t>
      </w:r>
    </w:p>
    <w:p>
      <w:pPr>
        <w:pStyle w:val="Heading1"/>
        <w:spacing w:before="240" w:after="100"/>
      </w:pPr>
      <w:r>
        <w:rPr>
          <w:rFonts w:ascii="Aptos" w:hAnsi="Aptos"/>
          <w:b/>
          <w:color w:val="121E2A"/>
          <w:sz w:val="36"/>
        </w:rPr>
        <w:t>6. Uzasadnienie wyboru rozwiązania cyfrowego</w:t>
      </w:r>
    </w:p>
    <w:p>
      <w:pPr>
        <w:spacing w:after="80" w:line="259" w:lineRule="auto"/>
      </w:pPr>
      <w:r>
        <w:rPr>
          <w:rFonts w:ascii="Aptos" w:hAnsi="Aptos"/>
          <w:sz w:val="19"/>
        </w:rPr>
        <w:t>Rozwiązanie cyfrowe jest uzasadnione ze względu na dynamiczny charakter informacji o grantach i dotacjach. Terminy naborów zmieniają się, nowe programy pojawiają się w różnych źródłach, a jednorazowe szkolenie lub publikacja nie zapewnia stałego dostępu do aktualnych informacji.</w:t>
      </w:r>
    </w:p>
    <w:p>
      <w:pPr>
        <w:spacing w:after="80" w:line="259" w:lineRule="auto"/>
      </w:pPr>
      <w:r>
        <w:rPr>
          <w:rFonts w:ascii="Aptos" w:hAnsi="Aptos"/>
          <w:sz w:val="19"/>
        </w:rPr>
        <w:t>System cyfrowy umożliwia bieżący dostęp do aktualizowanej bazy, filtrowanie informacji, korzystanie z kalendarza, generowanie zestawień i jednoczesne objęcie wsparciem wielu użytkowników bez konieczności budowania własnego narzędzia informatycznego.</w:t>
      </w:r>
    </w:p>
    <w:p>
      <w:r>
        <w:br w:type="page"/>
      </w:r>
    </w:p>
    <w:p>
      <w:pPr>
        <w:pStyle w:val="Heading1"/>
        <w:spacing w:before="240" w:after="100"/>
      </w:pPr>
      <w:r>
        <w:rPr>
          <w:rFonts w:ascii="Aptos" w:hAnsi="Aptos"/>
          <w:b/>
          <w:color w:val="121E2A"/>
          <w:sz w:val="36"/>
        </w:rPr>
        <w:t>7. Rekomendowany wariant zakupu</w:t>
      </w:r>
    </w:p>
    <w:p>
      <w:pPr>
        <w:spacing w:after="80" w:line="259" w:lineRule="auto"/>
      </w:pPr>
      <w:r>
        <w:rPr>
          <w:rFonts w:ascii="Aptos" w:hAnsi="Aptos"/>
          <w:sz w:val="19"/>
        </w:rPr>
        <w:t>Rekomenduje się zakup wariantu wskazanego poniżej, dopasowanego do skali działania Zamawiającego oraz liczby potencjalnych użytkowników, którzy mogą zostać objęci programem.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2"/>
        <w:gridCol w:w="5669"/>
      </w:tblGrid>
      <w:tr>
        <w:tc>
          <w:tcPr>
            <w:tcW w:type="dxa" w:w="5241"/>
            <w:shd w:fill="2E4A3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  <w:t>Pole do uzupełnienia</w:t>
            </w:r>
          </w:p>
        </w:tc>
        <w:tc>
          <w:tcPr>
            <w:tcW w:type="dxa" w:w="5241"/>
            <w:shd w:fill="2E4A3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  <w:t>Wartość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Rekomendowany wariant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Liczba kodów dostępu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Liczba webinarów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Zakres dodatkowy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Uzasadnienie wyboru wariantu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</w:tbl>
    <w:p/>
    <w:p>
      <w:pPr>
        <w:pStyle w:val="Heading1"/>
        <w:spacing w:before="240" w:after="100"/>
      </w:pPr>
      <w:r>
        <w:rPr>
          <w:rFonts w:ascii="Aptos" w:hAnsi="Aptos"/>
          <w:b/>
          <w:color w:val="121E2A"/>
          <w:sz w:val="36"/>
        </w:rPr>
        <w:t>8. Szacunkowa wartość i tryb zakupu</w:t>
      </w:r>
    </w:p>
    <w:p>
      <w:pPr>
        <w:spacing w:after="80" w:line="259" w:lineRule="auto"/>
      </w:pPr>
      <w:r>
        <w:rPr>
          <w:rFonts w:ascii="Aptos" w:hAnsi="Aptos"/>
          <w:sz w:val="19"/>
        </w:rPr>
        <w:t>Szacunkowa wartość zakupu wynosi: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2"/>
        <w:gridCol w:w="5669"/>
      </w:tblGrid>
      <w:tr>
        <w:tc>
          <w:tcPr>
            <w:tcW w:type="dxa" w:w="5241"/>
            <w:shd w:fill="2E4A3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  <w:t>Pole do uzupełnienia</w:t>
            </w:r>
          </w:p>
        </w:tc>
        <w:tc>
          <w:tcPr>
            <w:tcW w:type="dxa" w:w="5241"/>
            <w:shd w:fill="2E4A3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  <w:t>Wartość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Wartość netto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Stawka VAT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Wartość brutto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Planowane źródło finansowania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5F7F8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  <w:t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Tryb zakupu zgodnie z regulaminem Zamawiającego</w:t>
            </w:r>
          </w:p>
        </w:tc>
        <w:tc>
          <w:tcPr>
            <w:tcW w:type="dxa" w:w="5669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ptos" w:hAnsi="Aptos"/>
                <w:color w:val="121E2A"/>
                <w:sz w:val="17"/>
              </w:rPr>
              <w:t>........................................................</w:t>
            </w:r>
          </w:p>
        </w:tc>
      </w:tr>
    </w:tbl>
    <w:p/>
    <w:p>
      <w:pPr>
        <w:spacing w:after="80" w:line="259" w:lineRule="auto"/>
      </w:pPr>
      <w:r>
        <w:rPr>
          <w:rFonts w:ascii="Aptos" w:hAnsi="Aptos"/>
          <w:sz w:val="19"/>
        </w:rPr>
        <w:t>Zakup może zostać przeprowadzony zgodnie z regulaminem wewnętrznym Zamawiającego właściwym dla zamówień o danej wartości. Zamawiający samodzielnie określa tryb zakupu, sposób szacowania wartości zamówienia oraz wymagane czynności formalne zgodnie z obowiązującymi przepisami i zasadami wewnętrznymi.</w:t>
      </w:r>
    </w:p>
    <w:p>
      <w:pPr>
        <w:pStyle w:val="Heading1"/>
        <w:spacing w:before="240" w:after="100"/>
      </w:pPr>
      <w:r>
        <w:rPr>
          <w:rFonts w:ascii="Aptos" w:hAnsi="Aptos"/>
          <w:b/>
          <w:color w:val="121E2A"/>
          <w:sz w:val="36"/>
        </w:rPr>
        <w:t>9. Sposób realizacji i odbioru</w:t>
      </w:r>
    </w:p>
    <w:p>
      <w:pPr>
        <w:spacing w:after="80" w:line="259" w:lineRule="auto"/>
      </w:pPr>
      <w:r>
        <w:rPr>
          <w:rFonts w:ascii="Aptos" w:hAnsi="Aptos"/>
          <w:sz w:val="19"/>
        </w:rPr>
        <w:t>Usługa zostanie uruchomiona po zawarciu umowy lub przyjęciu oferty oraz przekazaniu Zamawiającemu uzgodnionej liczby kodów dostępu. Odbiór usługi może zostać potwierdzony na podstawie: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przekazania kodów dostępu;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zapewnienia dostępu do systemu;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przekazania instrukcji dla użytkowników;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przekazania materiałów komunikacyjnych;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ustalenia lub przeprowadzenia webinaru, jeżeli dotyczy;</w:t>
      </w:r>
    </w:p>
    <w:p>
      <w:pPr>
        <w:pStyle w:val="ListBullet"/>
        <w:spacing w:after="30"/>
      </w:pPr>
      <w:r>
        <w:rPr>
          <w:rFonts w:ascii="Aptos" w:hAnsi="Aptos"/>
          <w:color w:val="121E2A"/>
          <w:sz w:val="18"/>
        </w:rPr>
        <w:t>protokołu odbioru lub potwierdzenia mailowego.</w:t>
      </w:r>
    </w:p>
    <w:p>
      <w:pPr>
        <w:pStyle w:val="Heading1"/>
        <w:spacing w:before="240" w:after="100"/>
      </w:pPr>
      <w:r>
        <w:rPr>
          <w:rFonts w:ascii="Aptos" w:hAnsi="Aptos"/>
          <w:b/>
          <w:color w:val="121E2A"/>
          <w:sz w:val="36"/>
        </w:rPr>
        <w:t>10. Wnioski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EAF7EF"/>
            <w:tcMar>
              <w:top w:w="180" w:type="dxa"/>
              <w:start w:w="220" w:type="dxa"/>
              <w:bottom w:w="180" w:type="dxa"/>
              <w:end w:w="220" w:type="dxa"/>
            </w:tcMar>
            <w:tcBorders>
              <w:top w:val="single" w:sz="8" w:color="C9E7D3"/>
              <w:left w:val="single" w:sz="8" w:color="C9E7D3"/>
              <w:bottom w:val="single" w:sz="8" w:color="C9E7D3"/>
              <w:right w:val="single" w:sz="8" w:color="C9E7D3"/>
            </w:tcBorders>
          </w:tcPr>
          <w:p>
            <w:r>
              <w:rPr>
                <w:rFonts w:ascii="Aptos" w:hAnsi="Aptos"/>
                <w:b/>
                <w:color w:val="0F3D2E"/>
                <w:sz w:val="21"/>
              </w:rPr>
              <w:t>Rekomendacja</w:t>
            </w:r>
          </w:p>
          <w:p>
            <w:r>
              <w:rPr>
                <w:rFonts w:ascii="Aptos" w:hAnsi="Aptos"/>
                <w:color w:val="121E2A"/>
                <w:sz w:val="19"/>
              </w:rPr>
              <w:t>Zakup dostępu do systemu Grantowo Instytucja jest celowy, ponieważ odpowiada na realną potrzebę lokalnych organizacji i instytucji w zakresie dostępu do aktualnych informacji o grantach, dotacjach i naborach. Usługa umożliwia Zamawiającemu uruchomienie praktycznego, widocznego i łatwego do komunikowania programu wsparcia bez konieczności tworzenia własnej bazy grantów, zatrudniania dodatkowych osób lub samodzielnego monitorowania wielu źródeł informacji.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07" w:right="879" w:bottom="850" w:left="879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937"/>
      <w:gridCol w:w="2268"/>
    </w:tblGrid>
    <w:tr>
      <w:tc>
        <w:tcPr>
          <w:tcW w:type="dxa" w:w="5102"/>
          <w:tcBorders>
            <w:top w:val="nil" w:sz="0" w:color="FFFFFF"/>
            <w:left w:val="nil" w:sz="0" w:color="FFFFFF"/>
            <w:bottom w:val="nil" w:sz="0" w:color="FFFFFF"/>
            <w:right w:val="nil" w:sz="0" w:color="FFFFFF"/>
          </w:tcBorders>
        </w:tcPr>
        <w:p>
          <w:r>
            <w:rPr>
              <w:rFonts w:ascii="Aptos" w:hAnsi="Aptos"/>
              <w:color w:val="464E54"/>
              <w:sz w:val="15"/>
            </w:rPr>
            <w:t>Dokument pomocniczy do wykorzystania przez Zamawiającego | wersja edytowalna</w:t>
          </w:r>
        </w:p>
      </w:tc>
      <w:tc>
        <w:tcPr>
          <w:tcW w:type="dxa" w:w="5102"/>
          <w:tcBorders>
            <w:top w:val="nil" w:sz="0" w:color="FFFFFF"/>
            <w:left w:val="nil" w:sz="0" w:color="FFFFFF"/>
            <w:bottom w:val="nil" w:sz="0" w:color="FFFFFF"/>
            <w:right w:val="nil" w:sz="0" w:color="FFFFFF"/>
          </w:tcBorders>
        </w:tcPr>
        <w:p>
          <w:pPr>
            <w:jc w:val="right"/>
          </w:pPr>
          <w:r>
            <w:rPr>
              <w:color w:val="464E54"/>
              <w:sz w:val="15"/>
            </w:rPr>
            <w:t xml:space="preserve">Strona </w:t>
          </w: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1F6F5B"/>
        <w:sz w:val="17"/>
      </w:rPr>
      <w:t>Grantowo Instytucja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121E2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121E2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121E2A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1F6F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 w:eastAsia="Aptos"/>
      <w:b/>
      <w:color w:val="FFFFF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Grantowo Instytucja Uzasadnienie celowosci zakupu</dc:title>
  <dc:subject>Grantowo Instytucja</dc:subject>
  <dc:creator>Grantowo.pl</dc:creator>
  <cp:keywords>Grantowo, granty, dotacje, JST, OPZ, dokument zakupowy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