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483" w:type="dxa"/>
        <w:jc w:val="center"/>
        <w:tblInd w:w="0" w:type="dxa"/>
        <w:tblLayout w:type="fixed"/>
        <w:tblCellMar>
          <w:top w:w="520" w:type="dxa"/>
          <w:left w:w="520" w:type="dxa"/>
          <w:bottom w:w="520" w:type="dxa"/>
          <w:right w:w="520" w:type="dxa"/>
        </w:tblCellMar>
        <w:tblLook w:firstRow="1" w:noVBand="1" w:lastRow="0" w:firstColumn="1" w:lastColumn="0" w:noHBand="0" w:val="04a0"/>
      </w:tblPr>
      <w:tblGrid>
        <w:gridCol w:w="10483"/>
      </w:tblGrid>
      <w:tr>
        <w:trPr/>
        <w:tc>
          <w:tcPr>
            <w:tcW w:w="10483" w:type="dxa"/>
            <w:tcBorders>
              <w:top w:val="single" w:sz="6" w:space="0" w:color="0F3D2E"/>
              <w:left w:val="single" w:sz="6" w:space="0" w:color="0F3D2E"/>
              <w:bottom w:val="single" w:sz="6" w:space="0" w:color="0F3D2E"/>
              <w:right w:val="single" w:sz="6" w:space="0" w:color="0F3D2E"/>
            </w:tcBorders>
            <w:shd w:fill="0F3D2E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color w:val="D7F0E0"/>
                <w:sz w:val="20"/>
              </w:rPr>
              <w:t>GRANTOWO INSTYTUCJA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color w:val="FFFFFF"/>
                <w:sz w:val="50"/>
              </w:rPr>
              <w:t>Opis przedmiotu zamówienia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color w:val="E8F8EF"/>
                <w:sz w:val="22"/>
              </w:rPr>
              <w:t>Usługa dostępu do systemu informacji o grantach i dotacjach Grantowo Instytucja dla JST, bibliotek, uczelni i instytucji publicznych.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color w:val="E8F8EF"/>
                <w:sz w:val="18"/>
              </w:rPr>
              <w:t xml:space="preserve">Dokument zakupowy  |  wersja edytowalna  | 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483" w:type="dxa"/>
        <w:jc w:val="center"/>
        <w:tblInd w:w="0" w:type="dxa"/>
        <w:tblLayout w:type="fixed"/>
        <w:tblCellMar>
          <w:top w:w="180" w:type="dxa"/>
          <w:left w:w="220" w:type="dxa"/>
          <w:bottom w:w="180" w:type="dxa"/>
          <w:right w:w="220" w:type="dxa"/>
        </w:tblCellMar>
        <w:tblLook w:firstRow="1" w:noVBand="1" w:lastRow="0" w:firstColumn="1" w:lastColumn="0" w:noHBand="0" w:val="04a0"/>
      </w:tblPr>
      <w:tblGrid>
        <w:gridCol w:w="10483"/>
      </w:tblGrid>
      <w:tr>
        <w:trPr/>
        <w:tc>
          <w:tcPr>
            <w:tcW w:w="10483" w:type="dxa"/>
            <w:tcBorders>
              <w:top w:val="single" w:sz="8" w:space="0" w:color="C9E7D3"/>
              <w:left w:val="single" w:sz="8" w:space="0" w:color="C9E7D3"/>
              <w:bottom w:val="single" w:sz="8" w:space="0" w:color="C9E7D3"/>
              <w:right w:val="single" w:sz="8" w:space="0" w:color="C9E7D3"/>
            </w:tcBorders>
            <w:shd w:fill="EAF7EF"/>
          </w:tcPr>
          <w:p>
            <w:pPr>
              <w:pStyle w:val="Normal"/>
              <w:widowControl w:val="false"/>
              <w:rPr/>
            </w:pPr>
            <w:r>
              <w:rPr>
                <w:b/>
                <w:color w:val="0F3D2E"/>
                <w:sz w:val="21"/>
              </w:rPr>
              <w:t>Cel dokumentu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color w:val="121E2A"/>
                <w:sz w:val="19"/>
              </w:rPr>
              <w:t>Ten dokument można wykorzystać jako podstawę opisu zamówienia, zapytania ofertowego, notatki zakupowej lub załącznika do procedury wewnętrznej Zamawiającego. Wymaga uzupełnienia danych instytucji, wybranego wariantu oraz wartości zamówienia.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Dane do uzupełnienia</w:t>
      </w:r>
    </w:p>
    <w:tbl>
      <w:tblPr>
        <w:tblStyle w:val="TableGrid"/>
        <w:tblW w:w="9071" w:type="dxa"/>
        <w:jc w:val="center"/>
        <w:tblInd w:w="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3401"/>
        <w:gridCol w:w="5669"/>
      </w:tblGrid>
      <w:tr>
        <w:trPr/>
        <w:tc>
          <w:tcPr>
            <w:tcW w:w="3401" w:type="dxa"/>
            <w:tcBorders/>
            <w:shd w:fill="2E4A3F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Pole do uzupełnienia</w:t>
            </w:r>
          </w:p>
        </w:tc>
        <w:tc>
          <w:tcPr>
            <w:tcW w:w="5669" w:type="dxa"/>
            <w:tcBorders/>
            <w:shd w:fill="2E4A3F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Wartość</w:t>
            </w:r>
          </w:p>
        </w:tc>
      </w:tr>
      <w:tr>
        <w:trPr/>
        <w:tc>
          <w:tcPr>
            <w:tcW w:w="3401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Zamawiający</w:t>
            </w:r>
          </w:p>
        </w:tc>
        <w:tc>
          <w:tcPr>
            <w:tcW w:w="566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  <w:tr>
        <w:trPr/>
        <w:tc>
          <w:tcPr>
            <w:tcW w:w="3401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Osoba kontaktowa</w:t>
            </w:r>
          </w:p>
        </w:tc>
        <w:tc>
          <w:tcPr>
            <w:tcW w:w="566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  <w:tr>
        <w:trPr/>
        <w:tc>
          <w:tcPr>
            <w:tcW w:w="3401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Wybrany wariant usługi</w:t>
            </w:r>
          </w:p>
        </w:tc>
        <w:tc>
          <w:tcPr>
            <w:tcW w:w="566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  <w:tr>
        <w:trPr/>
        <w:tc>
          <w:tcPr>
            <w:tcW w:w="3401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Liczba kodów dostępu</w:t>
            </w:r>
          </w:p>
        </w:tc>
        <w:tc>
          <w:tcPr>
            <w:tcW w:w="566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  <w:tr>
        <w:trPr/>
        <w:tc>
          <w:tcPr>
            <w:tcW w:w="3401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Okres realizacji</w:t>
            </w:r>
          </w:p>
        </w:tc>
        <w:tc>
          <w:tcPr>
            <w:tcW w:w="566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  <w:tr>
        <w:trPr/>
        <w:tc>
          <w:tcPr>
            <w:tcW w:w="3401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Wartość netto</w:t>
            </w:r>
          </w:p>
        </w:tc>
        <w:tc>
          <w:tcPr>
            <w:tcW w:w="566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  <w:tr>
        <w:trPr/>
        <w:tc>
          <w:tcPr>
            <w:tcW w:w="3401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Wartość brutto</w:t>
            </w:r>
          </w:p>
        </w:tc>
        <w:tc>
          <w:tcPr>
            <w:tcW w:w="566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........................................................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1. Nazwa zamówienia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Świadczenie rocznej usługi dostępu do cyfrowego systemu informacji o grantach, dotacjach, konkursach i naborach finansowania zewnętrznego dla lokalnych organizacji, instytucji oraz użytkowników wskazanych przez Zamawiającego.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2. Przedmiot zamówienia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Przedmiotem zamówienia jest świadczenie usługi polegającej na udostępnieniu Zamawiającemu oraz wskazanym przez niego użytkownikom dostępu do systemu Grantowo.pl, obejmującego bazę informacji o grantach, dotacjach, konkursach, programach finansowania i naborach prowadzonych przez instytucje publiczne, krajowe, unijne, międzynarodowe oraz inne podmioty finansujące projekty społeczne, edukacyjne, kulturalne, sportowe, obywatelskie i rozwojowe.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Usługa ma charakter informacyjny, edukacyjny i organizacyjny. Jej celem jest ułatwienie lokalnym organizacjom i instytucjom dostępu do aktualnych informacji o możliwościach pozyskiwania środków zewnętrznych oraz ograniczenie problemu rozproszenia informacji o naborach.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3. Cel zamówienia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Celem zamówienia jest uruchomienie dla lokalnych podmiotów uporządkowanego systemu informacji grantowej, który wspiera samodzielne wyszukiwanie naborów, śledzenie terminów, korzystanie z materiałów edukacyjnych oraz lepsze przygotowanie do aplikowania o środki zewnętrzne.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zwiększenie dostępności informacji o grantach i dotacjach;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poprawa przepływu informacji o aktualnych i nadchodzących naborach;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wzmocnienie potencjału lokalnych organizacji i instytucji;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odciążenie Zamawiającego od ręcznego monitorowania wielu źródeł informacji;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uruchomienie widocznego programu wsparcia lokalnych organizacji i aktywnych mieszkańców.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4. Grupy odbiorców usługi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Kody dostępu mogą zostać przekazane użytkownikom wskazanym przez Zamawiającego. W szczególności mogą to być: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organizacje pozarządowe, fundacje i stowarzyszenia;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ochotnicze straże pożarne i koła gospodyń wiejskich;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kluby sportowe i lokalne grupy aktywności;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instytucje kultury, biblioteki, szkoły i placówki edukacyjne;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lokalni liderzy, grupy nieformalne i aktywni mieszkańcy;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jednostki organizacyjne lub inne podmioty wskazane przez Zamawiającego.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5. Zakres funkcjonalny i wymagania usługi</w:t>
      </w:r>
    </w:p>
    <w:tbl>
      <w:tblPr>
        <w:tblStyle w:val="TableGrid"/>
        <w:tblW w:w="9354" w:type="dxa"/>
        <w:jc w:val="center"/>
        <w:tblInd w:w="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2437"/>
        <w:gridCol w:w="3458"/>
        <w:gridCol w:w="3459"/>
      </w:tblGrid>
      <w:tr>
        <w:trPr/>
        <w:tc>
          <w:tcPr>
            <w:tcW w:w="2437" w:type="dxa"/>
            <w:tcBorders/>
            <w:shd w:fill="0F3D2E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Element usługi</w:t>
            </w:r>
          </w:p>
        </w:tc>
        <w:tc>
          <w:tcPr>
            <w:tcW w:w="3458" w:type="dxa"/>
            <w:tcBorders/>
            <w:shd w:fill="0F3D2E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Wymaganie</w:t>
            </w:r>
          </w:p>
        </w:tc>
        <w:tc>
          <w:tcPr>
            <w:tcW w:w="3459" w:type="dxa"/>
            <w:tcBorders/>
            <w:shd w:fill="0F3D2E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Korzyść dla Zamawiającego i użytkowników</w:t>
            </w:r>
          </w:p>
        </w:tc>
      </w:tr>
      <w:tr>
        <w:trPr/>
        <w:tc>
          <w:tcPr>
            <w:tcW w:w="2437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Baza grantów i dotacji</w:t>
            </w:r>
          </w:p>
        </w:tc>
        <w:tc>
          <w:tcPr>
            <w:tcW w:w="3458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Dostęp do aktualizowanej bazy informacji o grantach, dotacjach, konkursach i naborach.</w:t>
            </w:r>
          </w:p>
        </w:tc>
        <w:tc>
          <w:tcPr>
            <w:tcW w:w="345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Lokalni użytkownicy otrzymują jedno uporządkowane miejsce do szukania możliwości finansowania.</w:t>
            </w:r>
          </w:p>
        </w:tc>
      </w:tr>
      <w:tr>
        <w:trPr/>
        <w:tc>
          <w:tcPr>
            <w:tcW w:w="2437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Granty unijne i centralne</w:t>
            </w:r>
          </w:p>
        </w:tc>
        <w:tc>
          <w:tcPr>
            <w:tcW w:w="3458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Dostęp do informacji o wybranych dotacjach unijnych, centralnych i krajowych.</w:t>
            </w:r>
          </w:p>
        </w:tc>
        <w:tc>
          <w:tcPr>
            <w:tcW w:w="345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Użytkownicy nie muszą samodzielnie przeglądać wielu stron instytucji finansujących.</w:t>
            </w:r>
          </w:p>
        </w:tc>
      </w:tr>
      <w:tr>
        <w:trPr/>
        <w:tc>
          <w:tcPr>
            <w:tcW w:w="2437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Interaktywny kalendarz</w:t>
            </w:r>
          </w:p>
        </w:tc>
        <w:tc>
          <w:tcPr>
            <w:tcW w:w="3458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Dostęp do kalendarza terminów naborów i ważnych dat.</w:t>
            </w:r>
          </w:p>
        </w:tc>
        <w:tc>
          <w:tcPr>
            <w:tcW w:w="345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Zmniejszenie ryzyka przegapienia terminów składania wniosków.</w:t>
            </w:r>
          </w:p>
        </w:tc>
      </w:tr>
      <w:tr>
        <w:trPr/>
        <w:tc>
          <w:tcPr>
            <w:tcW w:w="2437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Przeglądarka premium</w:t>
            </w:r>
          </w:p>
        </w:tc>
        <w:tc>
          <w:tcPr>
            <w:tcW w:w="3458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Możliwość wyszukiwania i filtrowania naborów według kategorii, typu beneficjenta, źródła finansowania i terminów.</w:t>
            </w:r>
          </w:p>
        </w:tc>
        <w:tc>
          <w:tcPr>
            <w:tcW w:w="345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Szybsza selekcja naborów istotnych dla konkretnej organizacji lub instytucji.</w:t>
            </w:r>
          </w:p>
        </w:tc>
      </w:tr>
      <w:tr>
        <w:trPr/>
        <w:tc>
          <w:tcPr>
            <w:tcW w:w="2437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Generator grantów</w:t>
            </w:r>
          </w:p>
        </w:tc>
        <w:tc>
          <w:tcPr>
            <w:tcW w:w="3458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Możliwość przygotowania zestawień wybranych grantów w formie PDF lub równoważnej.</w:t>
            </w:r>
          </w:p>
        </w:tc>
        <w:tc>
          <w:tcPr>
            <w:tcW w:w="345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Łatwiejsze przekazywanie wybranych naborów zarządowi, zespołowi lub lokalnym partnerom.</w:t>
            </w:r>
          </w:p>
        </w:tc>
      </w:tr>
      <w:tr>
        <w:trPr/>
        <w:tc>
          <w:tcPr>
            <w:tcW w:w="2437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Wzory i materiały</w:t>
            </w:r>
          </w:p>
        </w:tc>
        <w:tc>
          <w:tcPr>
            <w:tcW w:w="3458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Dostęp do wzorów dokumentów, poradników i materiałów pomocniczych.</w:t>
            </w:r>
          </w:p>
        </w:tc>
        <w:tc>
          <w:tcPr>
            <w:tcW w:w="345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Wsparcie użytkowników w podstawowym przygotowaniu do aplikowania o środki.</w:t>
            </w:r>
          </w:p>
        </w:tc>
      </w:tr>
      <w:tr>
        <w:trPr/>
        <w:tc>
          <w:tcPr>
            <w:tcW w:w="2437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Baza wiedzy</w:t>
            </w:r>
          </w:p>
        </w:tc>
        <w:tc>
          <w:tcPr>
            <w:tcW w:w="3458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Dostęp do artykułów, poradników, ścieżek edukacyjnych i materiałów wideo.</w:t>
            </w:r>
          </w:p>
        </w:tc>
        <w:tc>
          <w:tcPr>
            <w:tcW w:w="345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Budowanie kompetencji grantowych bez konieczności organizowania wielu osobnych szkoleń.</w:t>
            </w:r>
          </w:p>
        </w:tc>
      </w:tr>
      <w:tr>
        <w:trPr/>
        <w:tc>
          <w:tcPr>
            <w:tcW w:w="2437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Kody dostępu</w:t>
            </w:r>
          </w:p>
        </w:tc>
        <w:tc>
          <w:tcPr>
            <w:tcW w:w="3458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Przekazanie Zamawiającemu puli kodów do dystrybucji wśród użytkowników.</w:t>
            </w:r>
          </w:p>
        </w:tc>
        <w:tc>
          <w:tcPr>
            <w:tcW w:w="345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Instytucja może udostępnić narzędzie lokalnym organizacjom jako własny program wsparcia.</w:t>
            </w:r>
          </w:p>
        </w:tc>
      </w:tr>
      <w:tr>
        <w:trPr/>
        <w:tc>
          <w:tcPr>
            <w:tcW w:w="2437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Powiadomienia premium</w:t>
            </w:r>
          </w:p>
        </w:tc>
        <w:tc>
          <w:tcPr>
            <w:tcW w:w="3458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Dostęp do funkcji informacyjnych i powiadomień zgodnie z funkcjonalnościami systemu.</w:t>
            </w:r>
          </w:p>
        </w:tc>
        <w:tc>
          <w:tcPr>
            <w:tcW w:w="345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Lepsza orientacja użytkowników w aktualnych i nadchodzących naborach.</w:t>
            </w:r>
          </w:p>
        </w:tc>
      </w:tr>
      <w:tr>
        <w:trPr/>
        <w:tc>
          <w:tcPr>
            <w:tcW w:w="2437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Webinar wdrożeniowy</w:t>
            </w:r>
          </w:p>
        </w:tc>
        <w:tc>
          <w:tcPr>
            <w:tcW w:w="3458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Webinar lub webinary wprowadzające, zależnie od wybranego wariantu.</w:t>
            </w:r>
          </w:p>
        </w:tc>
        <w:tc>
          <w:tcPr>
            <w:tcW w:w="345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Szybsze uruchomienie programu i większa aktywność użytkowników.</w:t>
            </w:r>
          </w:p>
        </w:tc>
      </w:tr>
      <w:tr>
        <w:trPr/>
        <w:tc>
          <w:tcPr>
            <w:tcW w:w="2437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Materiały promocyjne</w:t>
            </w:r>
          </w:p>
        </w:tc>
        <w:tc>
          <w:tcPr>
            <w:tcW w:w="3458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Gotowe komunikaty, grafiki i instrukcje do wykorzystania przez Zamawiającego.</w:t>
            </w:r>
          </w:p>
        </w:tc>
        <w:tc>
          <w:tcPr>
            <w:tcW w:w="3459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Łatwiejsze poinformowanie organizacji i mieszkańców o programie.</w:t>
            </w:r>
          </w:p>
        </w:tc>
      </w:tr>
      <w:tr>
        <w:trPr/>
        <w:tc>
          <w:tcPr>
            <w:tcW w:w="2437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Promocja instytucji</w:t>
            </w:r>
          </w:p>
        </w:tc>
        <w:tc>
          <w:tcPr>
            <w:tcW w:w="3458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Możliwość oznaczenia instytucji jako partnera programu w dedykowanej sekcji przez okres realizacji usługi.</w:t>
            </w:r>
          </w:p>
        </w:tc>
        <w:tc>
          <w:tcPr>
            <w:tcW w:w="3459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Wzmocnienie wizerunku Zamawiającego jako instytucji wspierającej lokalną aktywność.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6. Warianty realizacji usługi</w:t>
      </w:r>
    </w:p>
    <w:tbl>
      <w:tblPr>
        <w:tblStyle w:val="TableGrid"/>
        <w:tblW w:w="9354" w:type="dxa"/>
        <w:jc w:val="center"/>
        <w:tblInd w:w="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2550"/>
        <w:gridCol w:w="1984"/>
        <w:gridCol w:w="4820"/>
      </w:tblGrid>
      <w:tr>
        <w:trPr/>
        <w:tc>
          <w:tcPr>
            <w:tcW w:w="2550" w:type="dxa"/>
            <w:tcBorders/>
            <w:shd w:fill="1F6F5B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Wariant</w:t>
            </w:r>
          </w:p>
        </w:tc>
        <w:tc>
          <w:tcPr>
            <w:tcW w:w="1984" w:type="dxa"/>
            <w:tcBorders/>
            <w:shd w:fill="1F6F5B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Cena / wartość</w:t>
            </w:r>
          </w:p>
        </w:tc>
        <w:tc>
          <w:tcPr>
            <w:tcW w:w="4820" w:type="dxa"/>
            <w:tcBorders/>
            <w:shd w:fill="1F6F5B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b/>
                <w:color w:val="FFFFFF"/>
                <w:kern w:val="0"/>
                <w:sz w:val="17"/>
                <w:szCs w:val="22"/>
                <w:lang w:val="en-US" w:eastAsia="en-US" w:bidi="ar-SA"/>
              </w:rPr>
              <w:t>Zakres</w:t>
            </w:r>
          </w:p>
        </w:tc>
      </w:tr>
      <w:tr>
        <w:trPr/>
        <w:tc>
          <w:tcPr>
            <w:tcW w:w="2550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Grantowo Instytucja 365</w:t>
            </w:r>
          </w:p>
        </w:tc>
        <w:tc>
          <w:tcPr>
            <w:tcW w:w="1984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19 900 PLN netto / rok</w:t>
            </w:r>
          </w:p>
        </w:tc>
        <w:tc>
          <w:tcPr>
            <w:tcW w:w="4820" w:type="dxa"/>
            <w:tcBorders/>
            <w:shd w:fill="FFFFFF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30 kodów dostępu; dotacje unijne i centralne; generator grantów; przeglądarka premium; dedykowany asystent grantowy; interaktywny kalendarz; powiadomienia premium; wsparcie dystrybucji kodów; ścieżki edukacyjne; wsparcie mailowe i telefoniczne; materiały wideo i baza wiedzy; ścieżka „Mój pierwszy grant unijny”; promocja instytucji przez 365 dni.</w:t>
            </w:r>
          </w:p>
        </w:tc>
      </w:tr>
      <w:tr>
        <w:trPr/>
        <w:tc>
          <w:tcPr>
            <w:tcW w:w="2550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Grantowo Instytucja 365+</w:t>
            </w:r>
          </w:p>
        </w:tc>
        <w:tc>
          <w:tcPr>
            <w:tcW w:w="1984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49 900 PLN netto / rok</w:t>
            </w:r>
          </w:p>
        </w:tc>
        <w:tc>
          <w:tcPr>
            <w:tcW w:w="4820" w:type="dxa"/>
            <w:tcBorders/>
            <w:shd w:fill="F5F7F8"/>
            <w:tcMar>
              <w:top w:w="100" w:type="dxa"/>
              <w:bottom w:w="100" w:type="dxa"/>
            </w:tcMar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color w:val="121E2A"/>
                <w:kern w:val="0"/>
                <w:sz w:val="17"/>
                <w:szCs w:val="22"/>
                <w:lang w:val="en-US" w:eastAsia="en-US" w:bidi="ar-SA"/>
              </w:rPr>
              <w:t>100 kodów dostępu; pełny zakres wariantu 365; 2 webinary dla lokalnych organizacji i instytucji; pakiet grafik i komunikatów; lokalna podstrona informacyjna w domenie Grantowo.pl; oznaczenie instytucji jako partnera programu Grantowo Instytucja.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7. Okres realizacji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Usługa będzie świadczona przez okres 12 miesięcy od dnia aktywacji dostępu lub od innej daty wskazanej w umowie. W przypadku wyboru wariantu pilotażowego okres realizacji może zostać określony odrębnie, na przykład na 3 miesiące.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8. Sposób realizacji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Usługa będzie realizowana zdalnie, za pośrednictwem systemu internetowego Grantowo.pl. Wykonawca przekaże Zamawiającemu informacje niezbędne do uruchomienia dostępu, w szczególności: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instrukcję aktywacji kodów;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pulę kodów dostępu;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podstawowe materiały informacyjne dla użytkowników;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dane kontaktowe do wsparcia;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harmonogram webinaru, jeżeli obejmuje go wybrany wariant.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9. Obowiązki Wykonawcy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1.   Zapewnienie dostępu do systemu Grantowo.pl przez okres obowiązywania usługi.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2.   Udostępnienie Zamawiającemu uzgodnionej liczby kodów dostępu.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3.   Zapewnienie użytkownikom dostępu do funkcjonalności zgodnych z wybranym wariantem.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4.   Utrzymywanie i aktualizowanie bazy informacji o naborach w ramach standardowej działalności systemu.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5.   Zapewnienie podstawowego wsparcia technicznego i organizacyjnego.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6.   Przekazanie materiałów informacyjnych umożliwiających komunikację programu lokalnym odbiorcom.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7.   Przeprowadzenie webinaru lub webinarów, jeżeli obejmuje je wybrany wariant usługi.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8.   Współpraca z Zamawiającym przy pierwszym uruchomieniu programu.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10. Obowiązki Zamawiającego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1.   Wskazanie osoby kontaktowej odpowiedzialnej za współpracę z Wykonawcą.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2.   Przekazanie kodów dostępu wybranym użytkownikom zgodnie z własnymi zasadami.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3.   Poinformowanie użytkowników o zasadach korzystania z systemu.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4.   Współpraca przy ustaleniu terminu webinaru, jeżeli obejmuje go wybrany wariant.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5.   Wykorzystanie materiałów komunikacyjnych zgodnie z ich przeznaczeniem.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6.   Przestrzeganie regulaminu korzystania z systemu Grantowo.pl.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11. Rezultaty usługi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udostępnienie lokalnym organizacjom i instytucjom systemu informacji o grantach i dotacjach;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zwiększenie dostępności informacji o aktualnych i nadchodzących naborach;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ograniczenie problemu rozproszenia informacji o możliwościach finansowania;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wsparcie użytkowników w samodzielnym wyszukiwaniu grantów i dotacji;</w:t>
      </w:r>
    </w:p>
    <w:p>
      <w:pPr>
        <w:pStyle w:val="ListBullet"/>
        <w:numPr>
          <w:ilvl w:val="0"/>
          <w:numId w:val="1"/>
        </w:numPr>
        <w:spacing w:before="0" w:after="30"/>
        <w:contextualSpacing/>
        <w:rPr/>
      </w:pPr>
      <w:r>
        <w:rPr>
          <w:color w:val="121E2A"/>
          <w:sz w:val="18"/>
        </w:rPr>
        <w:t>umożliwienie Zamawiającemu prowadzenia widocznego programu wsparcia lokalnych organizacji i aktywnych mieszkańców.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12. Charakter usługi i wyłączenia</w:t>
      </w:r>
    </w:p>
    <w:tbl>
      <w:tblPr>
        <w:tblW w:w="10483" w:type="dxa"/>
        <w:jc w:val="center"/>
        <w:tblInd w:w="0" w:type="dxa"/>
        <w:tblLayout w:type="fixed"/>
        <w:tblCellMar>
          <w:top w:w="180" w:type="dxa"/>
          <w:left w:w="220" w:type="dxa"/>
          <w:bottom w:w="180" w:type="dxa"/>
          <w:right w:w="220" w:type="dxa"/>
        </w:tblCellMar>
        <w:tblLook w:firstRow="1" w:noVBand="1" w:lastRow="0" w:firstColumn="1" w:lastColumn="0" w:noHBand="0" w:val="04a0"/>
      </w:tblPr>
      <w:tblGrid>
        <w:gridCol w:w="10483"/>
      </w:tblGrid>
      <w:tr>
        <w:trPr/>
        <w:tc>
          <w:tcPr>
            <w:tcW w:w="10483" w:type="dxa"/>
            <w:tcBorders>
              <w:top w:val="single" w:sz="8" w:space="0" w:color="C9E7D3"/>
              <w:left w:val="single" w:sz="8" w:space="0" w:color="C9E7D3"/>
              <w:bottom w:val="single" w:sz="8" w:space="0" w:color="C9E7D3"/>
              <w:right w:val="single" w:sz="8" w:space="0" w:color="C9E7D3"/>
            </w:tcBorders>
            <w:shd w:fill="FFF7E6"/>
          </w:tcPr>
          <w:p>
            <w:pPr>
              <w:pStyle w:val="Normal"/>
              <w:widowControl w:val="false"/>
              <w:rPr/>
            </w:pPr>
            <w:r>
              <w:rPr>
                <w:b/>
                <w:color w:val="0F3D2E"/>
                <w:sz w:val="21"/>
              </w:rPr>
              <w:t>Ważne zastrzeżenie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color w:val="121E2A"/>
                <w:sz w:val="19"/>
              </w:rPr>
              <w:t>Grantowo.pl nie świadczy w ramach niniejszego zamówienia usługi pisania wniosków o dotacje, przygotowywania pełnej dokumentacji aplikacyjnej ani gwarantowania uzyskania dofinansowania. Usługa polega na zapewnieniu dostępu do systemu informacji, narzędzi edukacyjnych, kalendarza, materiałów pomocniczych i funkcjonalności wspierających samodzielne wyszukiwanie oraz analizowanie naborów.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13. Kryteria odbioru usługi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Usługa zostanie uznana za uruchomioną po spełnieniu następujących warunków: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1.   przekazaniu Zamawiającemu uzgodnionej liczby kodów dostępu;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2.   zapewnieniu dostępu do systemu Grantowo.pl;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3.   przekazaniu instrukcji aktywacji dostępu;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4.   przekazaniu materiałów informacyjnych dla użytkowników;</w:t>
      </w:r>
    </w:p>
    <w:p>
      <w:pPr>
        <w:pStyle w:val="Normal"/>
        <w:spacing w:before="0" w:after="30"/>
        <w:ind w:left="255" w:hanging="255"/>
        <w:rPr/>
      </w:pPr>
      <w:r>
        <w:rPr>
          <w:color w:val="121E2A"/>
          <w:sz w:val="18"/>
        </w:rPr>
        <w:t>5.   ustaleniu terminu webinaru, jeżeli obejmuje go wybrany wariant.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Odbiór usługi może zostać potwierdzony protokołem odbioru lub wiadomością e-mail osoby upoważnionej przez Zamawiającego.</w:t>
      </w:r>
    </w:p>
    <w:p>
      <w:pPr>
        <w:pStyle w:val="Nagwek1"/>
        <w:spacing w:before="240" w:after="100"/>
        <w:rPr/>
      </w:pPr>
      <w:r>
        <w:rPr>
          <w:rFonts w:ascii="Aptos" w:hAnsi="Aptos"/>
          <w:b/>
          <w:color w:val="121E2A"/>
          <w:sz w:val="36"/>
        </w:rPr>
        <w:t>14. Uwagi proceduralne</w:t>
      </w:r>
    </w:p>
    <w:p>
      <w:pPr>
        <w:pStyle w:val="Normal"/>
        <w:spacing w:lineRule="auto" w:line="259" w:before="0" w:after="80"/>
        <w:rPr/>
      </w:pPr>
      <w:r>
        <w:rPr>
          <w:sz w:val="19"/>
        </w:rPr>
        <w:t>Dokument ma charakter pomocniczy. Zamawiający samodzielnie określa właściwy tryb zakupu, sposób szacowania wartości zamówienia oraz wymagane czynności zgodnie z przepisami prawa, regulaminem wewnętrznym i zasadami obowiązującymi w danej instytucji.</w:t>
      </w:r>
    </w:p>
    <w:p>
      <w:pPr>
        <w:pStyle w:val="Normal"/>
        <w:rPr/>
      </w:pPr>
      <w:r>
        <w:rPr/>
      </w:r>
    </w:p>
    <w:tbl>
      <w:tblPr>
        <w:tblW w:w="10483" w:type="dxa"/>
        <w:jc w:val="center"/>
        <w:tblInd w:w="0" w:type="dxa"/>
        <w:tblLayout w:type="fixed"/>
        <w:tblCellMar>
          <w:top w:w="500" w:type="dxa"/>
          <w:left w:w="120" w:type="dxa"/>
          <w:bottom w:w="120" w:type="dxa"/>
          <w:right w:w="120" w:type="dxa"/>
        </w:tblCellMar>
        <w:tblLook w:firstRow="1" w:noVBand="1" w:lastRow="0" w:firstColumn="1" w:lastColumn="0" w:noHBand="0" w:val="04a0"/>
      </w:tblPr>
      <w:tblGrid>
        <w:gridCol w:w="5241"/>
        <w:gridCol w:w="5241"/>
      </w:tblGrid>
      <w:tr>
        <w:trPr/>
        <w:tc>
          <w:tcPr>
            <w:tcW w:w="5241" w:type="dxa"/>
            <w:tcBorders>
              <w:bottom w:val="single" w:sz="6" w:space="0" w:color="777777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color w:val="464E54"/>
                <w:sz w:val="16"/>
              </w:rPr>
              <w:t>Miejscowość i data</w:t>
            </w:r>
          </w:p>
        </w:tc>
        <w:tc>
          <w:tcPr>
            <w:tcW w:w="5241" w:type="dxa"/>
            <w:tcBorders>
              <w:bottom w:val="single" w:sz="6" w:space="0" w:color="777777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color w:val="464E54"/>
                <w:sz w:val="16"/>
              </w:rPr>
              <w:t>Podpis osoby upoważnionej</w:t>
            </w:r>
          </w:p>
        </w:tc>
      </w:tr>
    </w:tbl>
    <w:sectPr>
      <w:headerReference w:type="default" r:id="rId2"/>
      <w:footerReference w:type="default" r:id="rId3"/>
      <w:type w:val="nextPage"/>
      <w:pgSz w:w="12240" w:h="15840"/>
      <w:pgMar w:left="879" w:right="879" w:gutter="0" w:header="397" w:top="907" w:footer="397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  <w:tbl>
    <w:tblPr>
      <w:tblW w:w="1020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7937"/>
      <w:gridCol w:w="2267"/>
    </w:tblGrid>
    <w:tr>
      <w:trPr/>
      <w:tc>
        <w:tcPr>
          <w:tcW w:w="7937" w:type="dxa"/>
          <w:tcBorders/>
        </w:tcPr>
        <w:p>
          <w:pPr>
            <w:pStyle w:val="Normal"/>
            <w:widowControl w:val="false"/>
            <w:spacing w:before="0" w:after="200"/>
            <w:rPr/>
          </w:pPr>
          <w:r>
            <w:rPr>
              <w:color w:val="464E54"/>
              <w:sz w:val="15"/>
            </w:rPr>
            <w:t>Dokument pomocniczy do wykorzystania przez Zamawiającego | wersja edytowalna</w:t>
          </w:r>
        </w:p>
      </w:tc>
      <w:tc>
        <w:tcPr>
          <w:tcW w:w="2267" w:type="dxa"/>
          <w:tcBorders/>
        </w:tcPr>
        <w:p>
          <w:pPr>
            <w:pStyle w:val="Normal"/>
            <w:widowControl w:val="false"/>
            <w:spacing w:before="0" w:after="200"/>
            <w:jc w:val="right"/>
            <w:rPr/>
          </w:pPr>
          <w:r>
            <w:rPr>
              <w:color w:val="464E54"/>
              <w:sz w:val="15"/>
            </w:rPr>
            <w:t xml:space="preserve">Strona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5</w:t>
          </w:r>
          <w:r>
            <w:rPr/>
            <w:fldChar w:fldCharType="end"/>
          </w:r>
        </w:p>
      </w:tc>
    </w:tr>
  </w:tbl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left"/>
      <w:rPr/>
    </w:pPr>
    <w:r>
      <w:rPr>
        <w:b/>
        <w:color w:val="1F6F5B"/>
        <w:sz w:val="17"/>
      </w:rPr>
      <w:t>Grantowo Instytucja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ptos" w:hAnsi="Aptos" w:eastAsia="Aptos" w:cs=""/>
      <w:color w:val="121E2A"/>
      <w:kern w:val="0"/>
      <w:sz w:val="19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21E2A"/>
      <w:sz w:val="36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21E2A"/>
      <w:sz w:val="27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F6F5B"/>
      <w:sz w:val="23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Wyróżnienie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b/>
      <w:color w:val="FFFFF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a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a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LibreOffice/7.2.4.1$Windows_X86_64 LibreOffice_project/27d75539669ac387bb498e35313b970b7fe9c4f9</Application>
  <AppVersion>15.0000</AppVersion>
  <Pages>5</Pages>
  <Words>1130</Words>
  <Characters>8664</Characters>
  <CharactersWithSpaces>9673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Grantowo.pl</dc:creator>
  <dc:description>generated by python-docx</dc:description>
  <cp:keywords>Grantowo Grantowo granty dotacje JST OPZ dokument zakupowy</cp:keywords>
  <dc:language>pl-PL</dc:language>
  <cp:lastModifiedBy/>
  <dcterms:modified xsi:type="dcterms:W3CDTF">2026-07-08T12:23:06Z</dcterms:modified>
  <cp:revision>2</cp:revision>
  <dc:subject>Grantowo Instytucja</dc:subject>
  <dc:title>Grantowo Instytucja OPZ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